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8"/>
        <w:gridCol w:w="4913"/>
        <w:gridCol w:w="2068"/>
      </w:tblGrid>
      <w:tr w:rsidR="0041512A" w14:paraId="0108F97B" w14:textId="77777777" w:rsidTr="001F57D3">
        <w:tc>
          <w:tcPr>
            <w:tcW w:w="2228" w:type="dxa"/>
          </w:tcPr>
          <w:p w14:paraId="0173E2B8" w14:textId="34FC5C10" w:rsidR="0041512A" w:rsidRDefault="00660A98" w:rsidP="0041512A">
            <w:pPr>
              <w:spacing w:before="120" w:after="120"/>
            </w:pPr>
            <w:hyperlink r:id="rId5" w:history="1">
              <w:r w:rsidR="006852E3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4913" w:type="dxa"/>
          </w:tcPr>
          <w:p w14:paraId="55CD4C9D" w14:textId="77777777" w:rsidR="0041512A" w:rsidRDefault="006A3E4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1F692B">
              <w:rPr>
                <w:b/>
                <w:color w:val="006600"/>
                <w:sz w:val="40"/>
                <w:szCs w:val="40"/>
                <w:u w:val="none"/>
              </w:rPr>
              <w:t>oggetti preziosi</w:t>
            </w:r>
          </w:p>
        </w:tc>
        <w:tc>
          <w:tcPr>
            <w:tcW w:w="2068" w:type="dxa"/>
          </w:tcPr>
          <w:p w14:paraId="4000FD7A" w14:textId="6D0808C1" w:rsidR="0041512A" w:rsidRPr="0041512A" w:rsidRDefault="00660A98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75E0EAC" w14:textId="77777777" w:rsidTr="001F57D3">
        <w:tc>
          <w:tcPr>
            <w:tcW w:w="9209" w:type="dxa"/>
            <w:gridSpan w:val="3"/>
          </w:tcPr>
          <w:p w14:paraId="50579416" w14:textId="6E1297BF" w:rsidR="00F33A15" w:rsidRPr="00845B91" w:rsidRDefault="00845B91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45B9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AD8F6DF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color w:val="000000" w:themeColor="text1"/>
                <w:sz w:val="20"/>
                <w:szCs w:val="20"/>
                <w:u w:val="none"/>
              </w:rPr>
              <w:t>Sono oggetti preziosi quelli costituiti, in tutto o in parte, da metalli preziosi (oro, argento, platino e palladio,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color w:val="000000" w:themeColor="text1"/>
                <w:sz w:val="20"/>
                <w:szCs w:val="20"/>
                <w:u w:val="none"/>
              </w:rPr>
              <w:t>coralli e perle di ogni tipo) e da pietre preziose (diamanti, rubini, zaffiri, smeraldi e ogni altra pietra che sia unita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color w:val="000000" w:themeColor="text1"/>
                <w:sz w:val="20"/>
                <w:szCs w:val="20"/>
                <w:u w:val="none"/>
              </w:rPr>
              <w:t>a metalli preziosi). Metalli e pietre preziose possono anche essere venduti sciolti.</w:t>
            </w:r>
          </w:p>
          <w:p w14:paraId="00839704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" w:hAnsi="Arial,Bold" w:cs="Arial,Bold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La vendita oggetti preziosi, </w:t>
            </w:r>
            <w:r w:rsidRPr="001F692B">
              <w:rPr>
                <w:color w:val="000000" w:themeColor="text1"/>
                <w:sz w:val="20"/>
                <w:szCs w:val="20"/>
                <w:u w:val="none"/>
              </w:rPr>
              <w:t>oltre alle disposizioni afferenti alla disciplina della vendita al dettaglio in</w:t>
            </w:r>
          </w:p>
          <w:p w14:paraId="53452B4D" w14:textId="77777777" w:rsidR="001F692B" w:rsidRPr="001F692B" w:rsidRDefault="001F692B" w:rsidP="001F692B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color w:val="000000" w:themeColor="text1"/>
                <w:sz w:val="20"/>
                <w:szCs w:val="20"/>
                <w:u w:val="none"/>
              </w:rPr>
              <w:t>qualunque modo esercitata, è soggetta alle disposizioni speciali contenute nel Testo Unico Leggi Pubblica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color w:val="000000" w:themeColor="text1"/>
                <w:sz w:val="20"/>
                <w:szCs w:val="20"/>
                <w:u w:val="none"/>
              </w:rPr>
              <w:t>Sicurezza (TULPS) di cui si richiamano i seguenti aspetti:</w:t>
            </w:r>
          </w:p>
          <w:p w14:paraId="1F9B0151" w14:textId="77777777" w:rsidR="001F692B" w:rsidRPr="0037429E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</w:pPr>
            <w:r w:rsidRPr="0037429E"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>I commercianti di oggetti preziosi hanno l'obbligo di munirsi di licenza del Questore.</w:t>
            </w:r>
          </w:p>
          <w:p w14:paraId="188E454A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La licenza dura fino al 31 dicembre dell'anno in cui è stata rilasciata.</w:t>
            </w:r>
          </w:p>
          <w:p w14:paraId="2504D897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L'obbligo di munirsi della licenza incombe ai commercianti, tanto se lavorino o negozino abitualmente,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quanto occasionalmente.</w:t>
            </w:r>
          </w:p>
          <w:p w14:paraId="45F5CEE1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Non ricorre l'obbligo della licenza per gli institori e i rappresentanti di commercio, i quali devono,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tuttavia, munirsi di copia della licenza concessa alla ditta rappresentata. Tale copia è rilasciata dal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Questore e deve indicare il nome, il cognome, la paternità e la qualifica dell'institore o del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rappresentante di commercio. Detta disposizione non si applica agli institori e ai rappresentanti di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case estere.</w:t>
            </w:r>
          </w:p>
          <w:p w14:paraId="020E6628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Devono munirsi della licenza i fabbricanti ed i commercianti di articoli con montature o guarnizioni in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metalli preziosi, come, ad esempio, i cartolai, gli ombrellai, gli ottici, i chincaglieri e simili. Non sono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tenuti a munirsi della licenza i fabbricanti o commercianti di penne stilografiche nelle quali l'impiego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dei metalli preziosi sia limitato al pennino.</w:t>
            </w:r>
          </w:p>
          <w:p w14:paraId="7D71CCE4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La licenza è valida per tutti gli esercizi di vendita di oggetti preziosi, appartenenti alla medesima</w:t>
            </w:r>
          </w:p>
          <w:p w14:paraId="11CE4829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persona od alla medesima ditta, ancorché siti in località diverse. In ogni esercizio deve, tuttavia, essere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conservata copia della licenza, rilasciata dal Questore. Nella copia deve essere annotata la sede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dell'esercizio per la quale è rilasciata.</w:t>
            </w:r>
          </w:p>
          <w:p w14:paraId="31B304B8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Ove si tratti di succursali non comprese nella giurisdizione del Questore che rilascia la licenza, la copia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deve essere vistata dal Questore nella cui giurisdizione si trova la succursale dell'esercizio.</w:t>
            </w:r>
          </w:p>
          <w:p w14:paraId="3BC8C6AF" w14:textId="77777777" w:rsidR="001F692B" w:rsidRPr="0037429E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37429E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La licenza e le copie si rinnovano ogni anno, mediante vidimazione.</w:t>
            </w:r>
          </w:p>
          <w:p w14:paraId="207AF820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I commercianti non possono compiere operazioni su cose preziose antiche o usate se non con le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persone provviste della carta di identità o di altro documento munito di fotografia, proveniente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dall'amministrazione dello Stato.</w:t>
            </w:r>
          </w:p>
          <w:p w14:paraId="288DA138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Essi devono tenere un registro delle operazioni che compiono giornalmente, in cui sono annotate le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generalità di coloro con i quali le operazioni stesse sono compiute. Il registro deve indicare, di seguito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e senza spazi in bianco, il nome, cognome e domicilio dei venditori e dei compratori, la data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dell'operazione, la specie della merce comprata o venduta ed il prezzo pattuito.</w:t>
            </w:r>
          </w:p>
          <w:p w14:paraId="5C6EA0A8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Fatte salve le disposizioni di legge in materia di prevenzione del riciclaggio, le disposizioni si applicano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al commercio ed alla detenzione da parte delle imprese del settore, comprese quelle artigiane, di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oggetti preziosi o in metalli preziosi o recanti pietre preziose, anche usati.</w:t>
            </w:r>
          </w:p>
          <w:p w14:paraId="1B163988" w14:textId="77777777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Tale registro deve essere esibito agli ufficiali ed agenti di pubblica sicurezza, ad ogni loro richiesta.</w:t>
            </w:r>
          </w:p>
          <w:p w14:paraId="3EA9CA7B" w14:textId="00D88232" w:rsidR="001F692B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Le persone </w:t>
            </w:r>
            <w:r w:rsidR="00773B0D"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che compiono operazioni di compravendita con commercianti di cose preziose antiche o</w:t>
            </w:r>
            <w:r w:rsidR="00773B0D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773B0D"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usate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sono tenute a dimostrare la propria identità nei modi prescritti.</w:t>
            </w:r>
          </w:p>
          <w:p w14:paraId="12C9B3BE" w14:textId="77777777" w:rsidR="000E4B7E" w:rsidRPr="001F692B" w:rsidRDefault="001F692B" w:rsidP="001F692B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000000" w:themeColor="text1"/>
                <w:sz w:val="24"/>
                <w:szCs w:val="24"/>
                <w:u w:val="none"/>
              </w:rPr>
            </w:pP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L'esercente, che ha comprato cose preziose usate, non può alterarle o alienarle se non dieci giorni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1F692B">
              <w:rPr>
                <w:rFonts w:ascii="Arial,BoldItalic" w:hAnsi="Arial,BoldItalic" w:cs="Arial,BoldItalic"/>
                <w:b/>
                <w:bCs/>
                <w:i/>
                <w:iCs/>
                <w:color w:val="000000" w:themeColor="text1"/>
                <w:sz w:val="20"/>
                <w:szCs w:val="20"/>
                <w:u w:val="none"/>
              </w:rPr>
              <w:t>dopo l'acquisto, tranne che si tratti di oggetti comprati presso i fondachieri o all'asta pubblica.</w:t>
            </w:r>
          </w:p>
          <w:p w14:paraId="56106B7F" w14:textId="77777777" w:rsidR="0037429E" w:rsidRPr="0037429E" w:rsidRDefault="0037429E" w:rsidP="001F57D3">
            <w:pPr>
              <w:spacing w:before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</w:pPr>
            <w:r w:rsidRPr="0037429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È vietata la vendita di oggetti preziosi nell'esercizio del commercio su aree pubbliche.</w:t>
            </w:r>
          </w:p>
          <w:p w14:paraId="5F013871" w14:textId="4FBDFCBB" w:rsidR="001F692B" w:rsidRDefault="001F692B" w:rsidP="001F692B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7EAEB62" w14:textId="57167398" w:rsidR="00845B91" w:rsidRPr="00E336B3" w:rsidRDefault="00845B91" w:rsidP="00845B91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336B3">
              <w:rPr>
                <w:rStyle w:val="Collegamentoipertestuale"/>
                <w:b/>
                <w:color w:val="C00000"/>
                <w:u w:val="none"/>
              </w:rPr>
              <w:t xml:space="preserve">Requisiti aggiunti </w:t>
            </w:r>
          </w:p>
          <w:p w14:paraId="1A54F3AC" w14:textId="0B5EB1E4" w:rsidR="00845B91" w:rsidRDefault="00845B91" w:rsidP="00845B91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9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programmazione, ai quali si aggiungono i seguenti:</w:t>
            </w:r>
          </w:p>
          <w:p w14:paraId="4814D950" w14:textId="77777777" w:rsidR="00845B91" w:rsidRPr="006A3E4F" w:rsidRDefault="00845B91" w:rsidP="00845B91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336B3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Onorabilità 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Oltre ai requisiti previsti per l'inizio delle attività di vendita al dettaglio, l'art. 11 e 43 del TULPS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prevedono anche i seguenti requisiti:</w:t>
            </w:r>
          </w:p>
          <w:p w14:paraId="508FF0BB" w14:textId="77777777" w:rsidR="00845B91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27FEEA31" w14:textId="77777777" w:rsidR="00845B91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1F025F43" w14:textId="77777777" w:rsidR="00845B91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62E1A502" w14:textId="796B289F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 xml:space="preserve">Art. </w:t>
            </w: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11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- Salve le condizioni particolari stabilite dalla legge nei singoli casi, le autorizzazioni di polizia</w:t>
            </w:r>
          </w:p>
          <w:p w14:paraId="05841A7E" w14:textId="77777777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debbono essere negate:</w:t>
            </w:r>
          </w:p>
          <w:p w14:paraId="37F9024E" w14:textId="77777777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1° a chi ha riportato una condanna a pena restrittiva della libertà personale superiore a tre anni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delitto non colposo e non ha ottenuto la riabilitazione;</w:t>
            </w:r>
          </w:p>
          <w:p w14:paraId="66DA3C75" w14:textId="77777777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2° a chi è sottoposto all'ammonizione o a misura di sicurezza personale o è stato dichiarato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delinquente abituale, professionale o per tendenza.</w:t>
            </w:r>
          </w:p>
          <w:p w14:paraId="5D4E3157" w14:textId="77777777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di polizia possono essere negate a chi ha riportato condanna per delitti contro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personalità dello Stato o contro l'ordine pubblico, ovvero per delitti contro le persone commessi 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violenza, o per furto, rapina, estorsione, sequestro di persona a scopo di rapina o di estorsione,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violenza o resistenza all'autorità, e a chi non può provare la sua buona condotta.</w:t>
            </w:r>
          </w:p>
          <w:p w14:paraId="1BC7B278" w14:textId="77777777" w:rsidR="00845B91" w:rsidRPr="006A3E4F" w:rsidRDefault="00845B91" w:rsidP="00845B9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devono essere revocate quando nella persona autorizzata vengono a mancare, in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tutto o in parte, le condizioni alle quali sono subordinate, e possono essere revocate quando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sopraggiungono o vengono a risultare circostanze che avrebbero imposto o consentito il diniego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della autorizzazione.</w:t>
            </w:r>
          </w:p>
          <w:p w14:paraId="69FA1C7E" w14:textId="2B17721E" w:rsidR="001F57D3" w:rsidRPr="00314C93" w:rsidRDefault="001F57D3" w:rsidP="00314C93">
            <w:pPr>
              <w:pStyle w:val="Paragrafoelenco"/>
              <w:spacing w:line="259" w:lineRule="auto"/>
              <w:ind w:left="644" w:right="312"/>
              <w:jc w:val="both"/>
              <w:rPr>
                <w:b/>
                <w:bCs/>
                <w:color w:val="0000FF"/>
              </w:rPr>
            </w:pPr>
          </w:p>
          <w:p w14:paraId="6D2D8C54" w14:textId="2D3FCCBF" w:rsidR="00276654" w:rsidRPr="00845B91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845B91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366DFC0" w14:textId="7A284627" w:rsidR="0037429E" w:rsidRPr="009C33A4" w:rsidRDefault="0037429E" w:rsidP="0037429E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Istanza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attivare l’attività di vendita al dettaglio, occorre presentare </w:t>
            </w:r>
            <w:r w:rsidRPr="009C33A4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istanza alla Questura</w:t>
            </w:r>
            <w:r w:rsidRPr="009C33A4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licenza di Polizia. L’istanza deve essere allegata alla SCIA Condizionata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Vicinato o Istanza MSV o GSV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alla Questura.</w:t>
            </w:r>
          </w:p>
          <w:p w14:paraId="0CA296D4" w14:textId="6F2D2560" w:rsidR="0037429E" w:rsidRPr="00185119" w:rsidRDefault="0037429E" w:rsidP="0037429E">
            <w:pPr>
              <w:spacing w:after="120"/>
              <w:ind w:left="164" w:right="312"/>
              <w:jc w:val="both"/>
              <w:rPr>
                <w:color w:val="0000FF"/>
              </w:rPr>
            </w:pPr>
            <w:r w:rsidRPr="00314C9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di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oggetti preziosi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="001F57D3">
              <w:rPr>
                <w:color w:val="auto"/>
                <w:sz w:val="20"/>
                <w:szCs w:val="20"/>
                <w:u w:val="none"/>
              </w:rPr>
              <w:t>da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inoltrare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123AB536" w14:textId="19AD8730" w:rsidR="001F57D3" w:rsidRPr="00DE69A3" w:rsidRDefault="001F57D3" w:rsidP="001F57D3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+ Commercio al dettaglio in area privata + </w:t>
            </w:r>
          </w:p>
          <w:p w14:paraId="714684E6" w14:textId="77777777" w:rsidR="001F57D3" w:rsidRDefault="001F57D3" w:rsidP="001F57D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396552CE" w14:textId="77777777" w:rsidR="001F57D3" w:rsidRDefault="001F57D3" w:rsidP="001F57D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7F268E5C" w14:textId="77777777" w:rsidR="001F57D3" w:rsidRPr="00DE69A3" w:rsidRDefault="001F57D3" w:rsidP="001F57D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5306459" w14:textId="33C2ACE9" w:rsidR="001F57D3" w:rsidRPr="00DE69A3" w:rsidRDefault="001F57D3" w:rsidP="00314C93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+ </w:t>
            </w:r>
            <w:r w:rsidRPr="00DE69A3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Domanda di autorizzazione per l'esercizio del commercio di </w:t>
            </w:r>
            <w:r>
              <w:rPr>
                <w:b/>
                <w:bCs/>
                <w:color w:val="auto"/>
                <w:sz w:val="18"/>
                <w:szCs w:val="18"/>
                <w:u w:val="none"/>
              </w:rPr>
              <w:t>oggetti preziosi</w:t>
            </w:r>
          </w:p>
          <w:p w14:paraId="08253862" w14:textId="61DA7117" w:rsidR="001F57D3" w:rsidRDefault="001F57D3" w:rsidP="00314C9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14C9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314C9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64761A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6F0C27F" w14:textId="77777777" w:rsidR="001F57D3" w:rsidRDefault="001F57D3" w:rsidP="00314C93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43078711" w14:textId="5CCF5C54" w:rsidR="001F57D3" w:rsidRDefault="001F57D3" w:rsidP="001F57D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14C9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314C9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2D55F8F" w14:textId="77777777" w:rsidR="001F57D3" w:rsidRDefault="001F57D3" w:rsidP="001F57D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E7638A9" w14:textId="2A98801C" w:rsidR="00845B91" w:rsidRDefault="00845B91" w:rsidP="00845B91">
            <w:pPr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</w:p>
          <w:p w14:paraId="2E26EB86" w14:textId="77F0E695" w:rsidR="00CD1BD5" w:rsidRDefault="00660A98" w:rsidP="00CD1BD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CD1BD5">
                <w:rPr>
                  <w:rStyle w:val="Collegamentoipertestuale"/>
                  <w:b/>
                  <w:bCs/>
                </w:rPr>
                <w:t>Alle</w:t>
              </w:r>
              <w:r w:rsidR="00CD1BD5">
                <w:rPr>
                  <w:rStyle w:val="Collegamentoipertestuale"/>
                  <w:b/>
                  <w:bCs/>
                </w:rPr>
                <w:t>g</w:t>
              </w:r>
              <w:r w:rsidR="00CD1BD5">
                <w:rPr>
                  <w:rStyle w:val="Collegamentoipertestuale"/>
                  <w:b/>
                  <w:bCs/>
                </w:rPr>
                <w:t>ati</w:t>
              </w:r>
            </w:hyperlink>
            <w:r w:rsidR="00CD1BD5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CD1BD5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CD1BD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23F7B5D4" w14:textId="77777777" w:rsidR="00CD1BD5" w:rsidRDefault="00CD1BD5" w:rsidP="00CD1BD5">
            <w:pPr>
              <w:ind w:left="164" w:right="312"/>
              <w:jc w:val="both"/>
            </w:pPr>
          </w:p>
          <w:p w14:paraId="0B3CC2EC" w14:textId="26263CD0" w:rsidR="00EB534B" w:rsidRDefault="00660A98" w:rsidP="00EB534B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4" w:history="1">
              <w:r w:rsidR="00EB534B">
                <w:rPr>
                  <w:rStyle w:val="Collegamentoipertestuale"/>
                  <w:b/>
                  <w:bCs/>
                </w:rPr>
                <w:t>O</w:t>
              </w:r>
              <w:r w:rsidR="00EB534B">
                <w:rPr>
                  <w:rStyle w:val="Collegamentoipertestuale"/>
                  <w:b/>
                </w:rPr>
                <w:t xml:space="preserve">neri </w:t>
              </w:r>
              <w:r w:rsidR="00EB534B">
                <w:rPr>
                  <w:rStyle w:val="Collegamentoipertestuale"/>
                  <w:b/>
                  <w:bCs/>
                </w:rPr>
                <w:t>istr</w:t>
              </w:r>
              <w:r w:rsidR="00EB534B">
                <w:rPr>
                  <w:rStyle w:val="Collegamentoipertestuale"/>
                  <w:b/>
                  <w:bCs/>
                </w:rPr>
                <w:t>u</w:t>
              </w:r>
              <w:r w:rsidR="00EB534B">
                <w:rPr>
                  <w:rStyle w:val="Collegamentoipertestuale"/>
                  <w:b/>
                  <w:bCs/>
                </w:rPr>
                <w:t>ttori</w:t>
              </w:r>
            </w:hyperlink>
          </w:p>
          <w:p w14:paraId="350E87B1" w14:textId="77777777" w:rsidR="00EB534B" w:rsidRPr="00EB534B" w:rsidRDefault="00EB534B" w:rsidP="00EB534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B534B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EB534B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67634769" w14:textId="77777777" w:rsidR="00EB534B" w:rsidRDefault="00EB534B" w:rsidP="00EB534B">
            <w:pPr>
              <w:pStyle w:val="Paragrafoelenco"/>
              <w:ind w:left="164"/>
            </w:pPr>
          </w:p>
          <w:p w14:paraId="7A8FC8DB" w14:textId="09784E5F" w:rsidR="001F57D3" w:rsidRPr="00DA3FB9" w:rsidRDefault="00660A98" w:rsidP="001F57D3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15" w:history="1">
              <w:r w:rsidR="001F57D3" w:rsidRPr="00DA3FB9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787FD3CD" w14:textId="77777777" w:rsidR="003B28A6" w:rsidRPr="003B28A6" w:rsidRDefault="003B28A6" w:rsidP="003B28A6">
            <w:pPr>
              <w:spacing w:line="270" w:lineRule="atLeast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3B28A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L’attività di vendita di preziosi può essere iniziata solo dopo l’ottenimento della licenza da parte della Questura.</w:t>
            </w:r>
          </w:p>
          <w:p w14:paraId="256F2571" w14:textId="44551CAA" w:rsidR="00EB534B" w:rsidRDefault="001F57D3" w:rsidP="00B4160A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lastRenderedPageBreak/>
              <w:tab/>
            </w:r>
          </w:p>
          <w:p w14:paraId="362B4174" w14:textId="7F373A18" w:rsidR="001F57D3" w:rsidRPr="00744B7C" w:rsidRDefault="00660A98" w:rsidP="001F57D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1F57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1F57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1F57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1F57D3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1F57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47AC161" w14:textId="77777777" w:rsidR="001F57D3" w:rsidRDefault="001F57D3" w:rsidP="001F57D3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DB58C72" w14:textId="77777777" w:rsidR="00B4160A" w:rsidRDefault="00B4160A" w:rsidP="00823500">
            <w:pPr>
              <w:pStyle w:val="Rientrocorpodeltesto"/>
              <w:spacing w:after="0"/>
              <w:ind w:left="164"/>
              <w:jc w:val="both"/>
            </w:pPr>
          </w:p>
          <w:p w14:paraId="30B3475D" w14:textId="45F2EA97" w:rsidR="00823500" w:rsidRPr="0064761A" w:rsidRDefault="00660A98" w:rsidP="00823500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7" w:history="1">
              <w:r w:rsidR="001F57D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F57D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F57D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F57D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64761A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64761A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64761A">
                <w:rPr>
                  <w:rStyle w:val="Collegamentoipertestuale"/>
                  <w:b/>
                  <w:sz w:val="20"/>
                  <w:szCs w:val="20"/>
                </w:rPr>
                <w:t xml:space="preserve"> 2^</w:t>
              </w:r>
            </w:hyperlink>
            <w:r w:rsidR="0064761A">
              <w:rPr>
                <w:color w:val="0000FF"/>
                <w:sz w:val="20"/>
                <w:szCs w:val="20"/>
              </w:rPr>
              <w:t xml:space="preserve"> </w:t>
            </w:r>
            <w:r w:rsidR="0064761A">
              <w:rPr>
                <w:sz w:val="20"/>
                <w:szCs w:val="20"/>
              </w:rPr>
              <w:t>-</w:t>
            </w:r>
            <w:r w:rsidR="00823500" w:rsidRPr="0064761A">
              <w:rPr>
                <w:sz w:val="20"/>
                <w:szCs w:val="20"/>
                <w:u w:val="none"/>
              </w:rPr>
              <w:t xml:space="preserve"> </w:t>
            </w:r>
            <w:r w:rsidR="00823500" w:rsidRPr="0064761A">
              <w:rPr>
                <w:color w:val="auto"/>
                <w:sz w:val="20"/>
                <w:szCs w:val="20"/>
                <w:u w:val="none"/>
              </w:rPr>
              <w:t>Commercio in sede fissa.</w:t>
            </w:r>
          </w:p>
          <w:p w14:paraId="561AED63" w14:textId="68C5997E" w:rsidR="001F57D3" w:rsidRPr="00945B26" w:rsidRDefault="001F57D3" w:rsidP="001F57D3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2E49CBE" w14:textId="3A71F161" w:rsidR="00276654" w:rsidRPr="0041512A" w:rsidRDefault="001F57D3" w:rsidP="00660A98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</w:p>
        </w:tc>
      </w:tr>
    </w:tbl>
    <w:p w14:paraId="4E65BAA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DDF0DDA0"/>
    <w:lvl w:ilvl="0" w:tplc="FDAA03C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2873"/>
    <w:rsid w:val="00117F1E"/>
    <w:rsid w:val="001B2D0A"/>
    <w:rsid w:val="001F1EFA"/>
    <w:rsid w:val="001F57D3"/>
    <w:rsid w:val="001F692B"/>
    <w:rsid w:val="002210DE"/>
    <w:rsid w:val="0023487B"/>
    <w:rsid w:val="00276654"/>
    <w:rsid w:val="002A5D7C"/>
    <w:rsid w:val="002A6285"/>
    <w:rsid w:val="002B375D"/>
    <w:rsid w:val="002C2EEA"/>
    <w:rsid w:val="002D05DD"/>
    <w:rsid w:val="00314C93"/>
    <w:rsid w:val="00342D58"/>
    <w:rsid w:val="0037429E"/>
    <w:rsid w:val="003A4A32"/>
    <w:rsid w:val="003B28A6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83B21"/>
    <w:rsid w:val="005930C1"/>
    <w:rsid w:val="005A0E95"/>
    <w:rsid w:val="005C68B2"/>
    <w:rsid w:val="005C720B"/>
    <w:rsid w:val="005D082F"/>
    <w:rsid w:val="00621A5C"/>
    <w:rsid w:val="0064761A"/>
    <w:rsid w:val="00651378"/>
    <w:rsid w:val="00660A98"/>
    <w:rsid w:val="006852E3"/>
    <w:rsid w:val="00692827"/>
    <w:rsid w:val="006A3E4F"/>
    <w:rsid w:val="006B29D2"/>
    <w:rsid w:val="006B3A13"/>
    <w:rsid w:val="006C7151"/>
    <w:rsid w:val="007036C2"/>
    <w:rsid w:val="00737990"/>
    <w:rsid w:val="00737DA2"/>
    <w:rsid w:val="00773B0D"/>
    <w:rsid w:val="00823500"/>
    <w:rsid w:val="0082478D"/>
    <w:rsid w:val="00845B91"/>
    <w:rsid w:val="00877EB4"/>
    <w:rsid w:val="00897F79"/>
    <w:rsid w:val="008B54DE"/>
    <w:rsid w:val="008F4B3A"/>
    <w:rsid w:val="00945B26"/>
    <w:rsid w:val="009A4645"/>
    <w:rsid w:val="009C33A4"/>
    <w:rsid w:val="00A06B50"/>
    <w:rsid w:val="00B0731C"/>
    <w:rsid w:val="00B4160A"/>
    <w:rsid w:val="00B55762"/>
    <w:rsid w:val="00B66F7C"/>
    <w:rsid w:val="00BF42AE"/>
    <w:rsid w:val="00C75D34"/>
    <w:rsid w:val="00CB01D6"/>
    <w:rsid w:val="00CD1BD5"/>
    <w:rsid w:val="00CD592E"/>
    <w:rsid w:val="00CF66F8"/>
    <w:rsid w:val="00D16B5E"/>
    <w:rsid w:val="00D95E05"/>
    <w:rsid w:val="00DC5DC3"/>
    <w:rsid w:val="00DF0435"/>
    <w:rsid w:val="00E25843"/>
    <w:rsid w:val="00E660BB"/>
    <w:rsid w:val="00E67242"/>
    <w:rsid w:val="00EB534B"/>
    <w:rsid w:val="00EE37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8B4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2">
    <w:name w:val="ui-treenode-label2"/>
    <w:basedOn w:val="Normale"/>
    <w:rsid w:val="001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3%20Media%20struttura%20di%20vendita.docx" TargetMode="External"/><Relationship Id="rId13" Type="http://schemas.openxmlformats.org/officeDocument/2006/relationships/hyperlink" Target="Definizioni/14%20CF%20Allegati.docx" TargetMode="External"/><Relationship Id="rId18" Type="http://schemas.openxmlformats.org/officeDocument/2006/relationships/hyperlink" Target="file:///C:\Walter\sportello%20unico\Progetto%20PUC\TUR\Parte%202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CF01%20Negozi%20di%20vicinato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Definizioni/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Commercio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Definizioni/Tempistica%20SCIA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F04%20Grandi%20strutture%20di%20vendita.docx" TargetMode="External"/><Relationship Id="rId14" Type="http://schemas.openxmlformats.org/officeDocument/2006/relationships/hyperlink" Target="Definizioni/20%20CF%20Tariffe%20commercio%20fiss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42</cp:revision>
  <dcterms:created xsi:type="dcterms:W3CDTF">2018-07-20T19:56:00Z</dcterms:created>
  <dcterms:modified xsi:type="dcterms:W3CDTF">2021-04-24T14:48:00Z</dcterms:modified>
</cp:coreProperties>
</file>